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0F111" w14:textId="77777777" w:rsidR="00221DE1" w:rsidRDefault="00221DE1" w:rsidP="00E53693">
      <w:pPr>
        <w:jc w:val="right"/>
        <w:rPr>
          <w:rFonts w:ascii="AvantGarde CE" w:hAnsi="AvantGarde CE"/>
          <w:b/>
          <w:bCs/>
          <w:sz w:val="72"/>
          <w:szCs w:val="72"/>
        </w:rPr>
      </w:pPr>
    </w:p>
    <w:p w14:paraId="39187473" w14:textId="60B00C33" w:rsidR="00E53693" w:rsidRPr="00E04D26" w:rsidRDefault="00A56984" w:rsidP="00E53693">
      <w:pPr>
        <w:jc w:val="right"/>
        <w:rPr>
          <w:rFonts w:ascii="AvantGarde CE" w:hAnsi="AvantGarde CE"/>
          <w:b/>
          <w:bCs/>
          <w:sz w:val="72"/>
          <w:szCs w:val="72"/>
        </w:rPr>
      </w:pPr>
      <w:r>
        <w:rPr>
          <w:rFonts w:ascii="AvantGarde CE" w:hAnsi="AvantGarde CE"/>
          <w:b/>
          <w:bCs/>
          <w:sz w:val="72"/>
          <w:szCs w:val="72"/>
        </w:rPr>
        <w:t xml:space="preserve">ZOCCOLO </w:t>
      </w:r>
      <w:proofErr w:type="spellStart"/>
      <w:r>
        <w:rPr>
          <w:rFonts w:ascii="AvantGarde CE" w:hAnsi="AvantGarde CE"/>
          <w:b/>
          <w:bCs/>
          <w:sz w:val="72"/>
          <w:szCs w:val="72"/>
        </w:rPr>
        <w:t>Clasic</w:t>
      </w:r>
      <w:proofErr w:type="spellEnd"/>
    </w:p>
    <w:p w14:paraId="56809CAD" w14:textId="77777777" w:rsidR="00E53693" w:rsidRPr="00E04D26" w:rsidRDefault="00E53693" w:rsidP="00E53693">
      <w:pPr>
        <w:rPr>
          <w:rFonts w:ascii="AvantGarde CE" w:hAnsi="AvantGarde CE"/>
        </w:rPr>
      </w:pPr>
    </w:p>
    <w:p w14:paraId="1F078E43" w14:textId="4032C096" w:rsidR="00E53693" w:rsidRPr="00221DE1" w:rsidRDefault="004358BC" w:rsidP="00A56984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4"/>
          <w:szCs w:val="24"/>
        </w:rPr>
      </w:pPr>
      <w:r w:rsidRPr="00221DE1">
        <w:rPr>
          <w:rFonts w:ascii="AvantGarde CE" w:hAnsi="AvantGarde CE"/>
          <w:b/>
          <w:bCs/>
          <w:i/>
          <w:iCs/>
          <w:sz w:val="24"/>
          <w:szCs w:val="24"/>
        </w:rPr>
        <w:t>Z</w:t>
      </w:r>
      <w:r w:rsidR="00221DE1" w:rsidRPr="00221DE1">
        <w:rPr>
          <w:rFonts w:ascii="AvantGarde CE" w:hAnsi="AvantGarde CE"/>
          <w:b/>
          <w:bCs/>
          <w:i/>
          <w:iCs/>
          <w:sz w:val="24"/>
          <w:szCs w:val="24"/>
        </w:rPr>
        <w:t xml:space="preserve">OCCOLO </w:t>
      </w:r>
      <w:proofErr w:type="spellStart"/>
      <w:r w:rsidRPr="00221DE1">
        <w:rPr>
          <w:rFonts w:ascii="AvantGarde CE" w:hAnsi="AvantGarde CE"/>
          <w:b/>
          <w:bCs/>
          <w:i/>
          <w:iCs/>
          <w:sz w:val="24"/>
          <w:szCs w:val="24"/>
        </w:rPr>
        <w:t>Clasic</w:t>
      </w:r>
      <w:proofErr w:type="spellEnd"/>
      <w:r w:rsidRPr="00221DE1">
        <w:rPr>
          <w:rFonts w:ascii="AvantGarde CE" w:hAnsi="AvantGarde CE"/>
          <w:sz w:val="24"/>
          <w:szCs w:val="24"/>
        </w:rPr>
        <w:t xml:space="preserve"> je tekutý dezinfekční přípravek s vysokou efektivitou dezinfekční účinnosti. </w:t>
      </w:r>
      <w:r w:rsidR="00A56984" w:rsidRPr="00221DE1">
        <w:rPr>
          <w:rFonts w:ascii="AvantGarde CE" w:hAnsi="AvantGarde CE" w:cs="MyriadPro-Regular"/>
          <w:sz w:val="24"/>
          <w:szCs w:val="24"/>
        </w:rPr>
        <w:t xml:space="preserve">Kombinuje vysokou dezinfekční účinnost </w:t>
      </w:r>
      <w:proofErr w:type="spellStart"/>
      <w:r w:rsidR="00A56984" w:rsidRPr="00221DE1">
        <w:rPr>
          <w:rFonts w:ascii="AvantGarde CE" w:hAnsi="AvantGarde CE" w:cs="MyriadPro-Regular"/>
          <w:sz w:val="24"/>
          <w:szCs w:val="24"/>
        </w:rPr>
        <w:t>glyoxalu</w:t>
      </w:r>
      <w:proofErr w:type="spellEnd"/>
      <w:r w:rsidR="00A56984" w:rsidRPr="00221DE1">
        <w:rPr>
          <w:rFonts w:ascii="AvantGarde CE" w:hAnsi="AvantGarde CE" w:cs="MyriadPro-Regular"/>
          <w:sz w:val="24"/>
          <w:szCs w:val="24"/>
        </w:rPr>
        <w:t xml:space="preserve"> </w:t>
      </w:r>
      <w:r w:rsidR="00AA5BE9" w:rsidRPr="00221DE1">
        <w:rPr>
          <w:rFonts w:ascii="AvantGarde CE" w:hAnsi="AvantGarde CE" w:cs="MyriadPro-Regular"/>
          <w:sz w:val="24"/>
          <w:szCs w:val="24"/>
        </w:rPr>
        <w:t xml:space="preserve">a kvartérních amoniových solí </w:t>
      </w:r>
      <w:r w:rsidR="00A56984" w:rsidRPr="00221DE1">
        <w:rPr>
          <w:rFonts w:ascii="AvantGarde CE" w:hAnsi="AvantGarde CE" w:cs="MyriadPro-Regular"/>
          <w:sz w:val="24"/>
          <w:szCs w:val="24"/>
        </w:rPr>
        <w:t xml:space="preserve">se synergickým účinkem </w:t>
      </w:r>
      <w:r w:rsidR="008B1C9E" w:rsidRPr="00221DE1">
        <w:rPr>
          <w:rFonts w:ascii="AvantGarde CE" w:hAnsi="AvantGarde CE" w:cs="MyriadPro-Regular"/>
          <w:sz w:val="24"/>
          <w:szCs w:val="24"/>
        </w:rPr>
        <w:t>speciálních polyam</w:t>
      </w:r>
      <w:r w:rsidR="00DE1F00" w:rsidRPr="00221DE1">
        <w:rPr>
          <w:rFonts w:ascii="AvantGarde CE" w:hAnsi="AvantGarde CE" w:cs="MyriadPro-Regular"/>
          <w:sz w:val="24"/>
          <w:szCs w:val="24"/>
        </w:rPr>
        <w:t>i</w:t>
      </w:r>
      <w:r w:rsidR="008B1C9E" w:rsidRPr="00221DE1">
        <w:rPr>
          <w:rFonts w:ascii="AvantGarde CE" w:hAnsi="AvantGarde CE" w:cs="MyriadPro-Regular"/>
          <w:sz w:val="24"/>
          <w:szCs w:val="24"/>
        </w:rPr>
        <w:t>nů</w:t>
      </w:r>
      <w:r w:rsidR="0093078F" w:rsidRPr="00221DE1">
        <w:rPr>
          <w:rFonts w:ascii="AvantGarde CE" w:hAnsi="AvantGarde CE" w:cs="MyriadPro-Regular"/>
          <w:sz w:val="24"/>
          <w:szCs w:val="24"/>
        </w:rPr>
        <w:t xml:space="preserve"> a speciálního aldehydu k vytvrzení rohoviny paznehtu</w:t>
      </w:r>
      <w:r w:rsidR="008B1C9E" w:rsidRPr="00221DE1">
        <w:rPr>
          <w:rFonts w:ascii="AvantGarde CE" w:hAnsi="AvantGarde CE" w:cs="MyriadPro-Regular"/>
          <w:sz w:val="24"/>
          <w:szCs w:val="24"/>
        </w:rPr>
        <w:t>.</w:t>
      </w:r>
      <w:r w:rsidR="00DE1F00" w:rsidRPr="00221DE1">
        <w:rPr>
          <w:rFonts w:ascii="AvantGarde CE" w:hAnsi="AvantGarde CE" w:cs="MyriadPro-Regular"/>
          <w:sz w:val="24"/>
          <w:szCs w:val="24"/>
        </w:rPr>
        <w:t xml:space="preserve"> </w:t>
      </w:r>
      <w:r w:rsidR="00DE1F00" w:rsidRPr="00221DE1">
        <w:rPr>
          <w:rFonts w:ascii="AvantGarde CE" w:hAnsi="AvantGarde CE"/>
          <w:sz w:val="24"/>
          <w:szCs w:val="24"/>
        </w:rPr>
        <w:t xml:space="preserve">Přípravek je šetrný k většině používaných materiálů v chovech jako jsou nerez ocel, barevné kovy, sklo, plasty a pryž.  Vyznačuje se velmi efektivním a rychlým dezinfekčním účinkem a zlepšuje strukturu rohoviny.  </w:t>
      </w:r>
      <w:r w:rsidR="00DE1F00" w:rsidRPr="00221DE1">
        <w:rPr>
          <w:rFonts w:ascii="AvantGarde CE" w:hAnsi="AvantGarde CE"/>
          <w:b/>
          <w:bCs/>
          <w:i/>
          <w:iCs/>
          <w:sz w:val="24"/>
          <w:szCs w:val="24"/>
        </w:rPr>
        <w:t>Z</w:t>
      </w:r>
      <w:r w:rsidR="00221DE1">
        <w:rPr>
          <w:rFonts w:ascii="AvantGarde CE" w:hAnsi="AvantGarde CE"/>
          <w:b/>
          <w:bCs/>
          <w:i/>
          <w:iCs/>
          <w:sz w:val="24"/>
          <w:szCs w:val="24"/>
        </w:rPr>
        <w:t>OCCOL</w:t>
      </w:r>
      <w:r w:rsidR="00F92FE6">
        <w:rPr>
          <w:rFonts w:ascii="AvantGarde CE" w:hAnsi="AvantGarde CE"/>
          <w:b/>
          <w:bCs/>
          <w:i/>
          <w:iCs/>
          <w:sz w:val="24"/>
          <w:szCs w:val="24"/>
        </w:rPr>
        <w:t>O</w:t>
      </w:r>
      <w:r w:rsidR="00DE1F00" w:rsidRPr="00221DE1">
        <w:rPr>
          <w:rFonts w:ascii="AvantGarde CE" w:hAnsi="AvantGarde CE"/>
          <w:b/>
          <w:bCs/>
          <w:i/>
          <w:iCs/>
          <w:sz w:val="24"/>
          <w:szCs w:val="24"/>
        </w:rPr>
        <w:t xml:space="preserve"> </w:t>
      </w:r>
      <w:proofErr w:type="spellStart"/>
      <w:r w:rsidR="00DE1F00" w:rsidRPr="00221DE1">
        <w:rPr>
          <w:rFonts w:ascii="AvantGarde CE" w:hAnsi="AvantGarde CE"/>
          <w:b/>
          <w:bCs/>
          <w:i/>
          <w:iCs/>
          <w:sz w:val="24"/>
          <w:szCs w:val="24"/>
        </w:rPr>
        <w:t>Clasic</w:t>
      </w:r>
      <w:proofErr w:type="spellEnd"/>
      <w:r w:rsidR="00F962F6">
        <w:rPr>
          <w:rFonts w:ascii="AvantGarde CE" w:hAnsi="AvantGarde CE"/>
          <w:sz w:val="24"/>
          <w:szCs w:val="24"/>
        </w:rPr>
        <w:t xml:space="preserve"> </w:t>
      </w:r>
      <w:r w:rsidR="00DE1F00" w:rsidRPr="00221DE1">
        <w:rPr>
          <w:rFonts w:ascii="AvantGarde CE" w:hAnsi="AvantGarde CE"/>
          <w:sz w:val="24"/>
          <w:szCs w:val="24"/>
        </w:rPr>
        <w:t>má velmi ekonomické použití, na běžnou dezinfekci a čištění je optimální použití pouze 3% roztoku. Povrchy, které po dezinfekci přijdou do styku s potravinami, krmivy je nutné před opětovným užíváním důkladně opláchnout vodou.</w:t>
      </w:r>
    </w:p>
    <w:p w14:paraId="7FE96C04" w14:textId="77777777" w:rsidR="00E53693" w:rsidRPr="00221DE1" w:rsidRDefault="00E53693" w:rsidP="00E53693">
      <w:pPr>
        <w:jc w:val="both"/>
        <w:rPr>
          <w:rFonts w:ascii="AvantGarde CE" w:hAnsi="AvantGarde CE"/>
          <w:sz w:val="24"/>
          <w:szCs w:val="24"/>
        </w:rPr>
      </w:pPr>
    </w:p>
    <w:p w14:paraId="38E1C0D3" w14:textId="588C2E70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 xml:space="preserve">Základní informace: </w:t>
      </w:r>
    </w:p>
    <w:p w14:paraId="47AF43BB" w14:textId="665C3F27" w:rsidR="00E53693" w:rsidRPr="00221DE1" w:rsidRDefault="00DE1F00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r w:rsidRPr="00221DE1">
        <w:rPr>
          <w:rFonts w:ascii="AvantGarde CE" w:hAnsi="AvantGarde CE"/>
          <w:b/>
          <w:bCs/>
          <w:i/>
          <w:iCs/>
          <w:sz w:val="24"/>
          <w:szCs w:val="24"/>
        </w:rPr>
        <w:t xml:space="preserve">ZOCCOLO </w:t>
      </w:r>
      <w:proofErr w:type="spellStart"/>
      <w:r w:rsidRPr="00221DE1">
        <w:rPr>
          <w:rFonts w:ascii="AvantGarde CE" w:hAnsi="AvantGarde CE"/>
          <w:b/>
          <w:bCs/>
          <w:i/>
          <w:iCs/>
          <w:sz w:val="24"/>
          <w:szCs w:val="24"/>
        </w:rPr>
        <w:t>Clasic</w:t>
      </w:r>
      <w:proofErr w:type="spellEnd"/>
      <w:r w:rsidRPr="00221DE1">
        <w:rPr>
          <w:rFonts w:ascii="AvantGarde CE" w:hAnsi="AvantGarde CE"/>
          <w:sz w:val="24"/>
          <w:szCs w:val="24"/>
        </w:rPr>
        <w:t xml:space="preserve"> Byl vyvinut speciálně pro aplikaci „dezinfekce a čištění paznehtů skotu a ovcí“ koupelí v </w:t>
      </w:r>
      <w:proofErr w:type="spellStart"/>
      <w:r w:rsidRPr="00221DE1">
        <w:rPr>
          <w:rFonts w:ascii="AvantGarde CE" w:hAnsi="AvantGarde CE"/>
          <w:sz w:val="24"/>
          <w:szCs w:val="24"/>
        </w:rPr>
        <w:t>lavážní</w:t>
      </w:r>
      <w:proofErr w:type="spellEnd"/>
      <w:r w:rsidRPr="00221DE1">
        <w:rPr>
          <w:rFonts w:ascii="AvantGarde CE" w:hAnsi="AvantGarde CE"/>
          <w:sz w:val="24"/>
          <w:szCs w:val="24"/>
        </w:rPr>
        <w:t xml:space="preserve"> vaně či lokálním postřikem. Může být však použit na širokou škálu aplikací v zemědělství, zejména pak dezinfekci ploch a povrchů v chovech zvířat.</w:t>
      </w:r>
      <w:r w:rsidRPr="00221DE1">
        <w:rPr>
          <w:rFonts w:ascii="MyriadPro-Regular" w:hAnsi="MyriadPro-Regular" w:cs="MyriadPro-Regular"/>
          <w:sz w:val="24"/>
          <w:szCs w:val="24"/>
        </w:rPr>
        <w:t xml:space="preserve"> </w:t>
      </w:r>
      <w:r w:rsidRPr="00221DE1">
        <w:rPr>
          <w:rFonts w:ascii="AvantGarde CE" w:hAnsi="AvantGarde CE" w:cs="MyriadPro-Regular"/>
          <w:sz w:val="24"/>
          <w:szCs w:val="24"/>
        </w:rPr>
        <w:t>Lze jej používat i při nízkých teplotách okolního prostředí. Je účinný po celý rok. Vytváří stabilní</w:t>
      </w:r>
      <w:r w:rsidR="003F3B70" w:rsidRPr="00221DE1">
        <w:rPr>
          <w:rFonts w:ascii="AvantGarde CE" w:hAnsi="AvantGarde CE" w:cs="MyriadPro-Regular"/>
          <w:sz w:val="24"/>
          <w:szCs w:val="24"/>
        </w:rPr>
        <w:t xml:space="preserve"> </w:t>
      </w:r>
      <w:r w:rsidRPr="00221DE1">
        <w:rPr>
          <w:rFonts w:ascii="AvantGarde CE" w:hAnsi="AvantGarde CE" w:cs="MyriadPro-Regular"/>
          <w:sz w:val="24"/>
          <w:szCs w:val="24"/>
        </w:rPr>
        <w:t>roztok i při ztížených podmínkách.</w:t>
      </w:r>
    </w:p>
    <w:p w14:paraId="3C893550" w14:textId="7C593A5E" w:rsidR="003F3B70" w:rsidRPr="00221DE1" w:rsidRDefault="003F3B70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r w:rsidRPr="00221DE1"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ZOCCOLO </w:t>
      </w:r>
      <w:proofErr w:type="spellStart"/>
      <w:r w:rsidRPr="00221DE1">
        <w:rPr>
          <w:rFonts w:ascii="AvantGarde CE" w:hAnsi="AvantGarde CE" w:cs="MyriadPro-Regular"/>
          <w:b/>
          <w:bCs/>
          <w:i/>
          <w:iCs/>
          <w:sz w:val="24"/>
          <w:szCs w:val="24"/>
        </w:rPr>
        <w:t>Clasic</w:t>
      </w:r>
      <w:proofErr w:type="spellEnd"/>
      <w:r w:rsidRPr="00221DE1">
        <w:rPr>
          <w:rFonts w:ascii="AvantGarde CE" w:hAnsi="AvantGarde CE" w:cs="MyriadPro-Regular"/>
          <w:sz w:val="24"/>
          <w:szCs w:val="24"/>
        </w:rPr>
        <w:t xml:space="preserve"> se vyznačuje baktericidní, fungicidní</w:t>
      </w:r>
      <w:r w:rsidR="00F962F6">
        <w:rPr>
          <w:rFonts w:ascii="AvantGarde CE" w:hAnsi="AvantGarde CE" w:cs="MyriadPro-Regular"/>
          <w:sz w:val="24"/>
          <w:szCs w:val="24"/>
        </w:rPr>
        <w:t xml:space="preserve"> a</w:t>
      </w:r>
      <w:r w:rsidRPr="00221DE1">
        <w:rPr>
          <w:rFonts w:ascii="AvantGarde CE" w:hAnsi="AvantGarde CE" w:cs="MyriadPro-Regular"/>
          <w:sz w:val="24"/>
          <w:szCs w:val="24"/>
        </w:rPr>
        <w:t xml:space="preserve"> </w:t>
      </w:r>
      <w:proofErr w:type="spellStart"/>
      <w:r w:rsidR="00F962F6">
        <w:rPr>
          <w:rFonts w:ascii="AvantGarde CE" w:hAnsi="AvantGarde CE" w:cs="MyriadPro-Regular"/>
          <w:sz w:val="24"/>
          <w:szCs w:val="24"/>
        </w:rPr>
        <w:t>levurocidní</w:t>
      </w:r>
      <w:proofErr w:type="spellEnd"/>
      <w:r w:rsidRPr="00221DE1">
        <w:rPr>
          <w:rFonts w:ascii="AvantGarde CE" w:hAnsi="AvantGarde CE" w:cs="MyriadPro-Regular"/>
          <w:sz w:val="24"/>
          <w:szCs w:val="24"/>
        </w:rPr>
        <w:t xml:space="preserve"> účinností.</w:t>
      </w:r>
    </w:p>
    <w:p w14:paraId="7BEFB7FF" w14:textId="0FDE9CBA" w:rsidR="003F3B70" w:rsidRPr="00221DE1" w:rsidRDefault="003F3B70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r w:rsidRPr="00221DE1">
        <w:rPr>
          <w:rFonts w:ascii="AvantGarde CE" w:hAnsi="AvantGarde CE" w:cs="MyriadPro-Regular"/>
          <w:sz w:val="24"/>
          <w:szCs w:val="24"/>
        </w:rPr>
        <w:t>Pro získání více informací o mikrobiologické účinnosti a expoziční době kontaktujte našeho odborného zástupce.</w:t>
      </w:r>
    </w:p>
    <w:p w14:paraId="29C6380C" w14:textId="77777777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</w:p>
    <w:p w14:paraId="38D79F24" w14:textId="77777777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54DC8D50" w14:textId="489F8FB8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Návod k použití</w:t>
      </w:r>
      <w:r w:rsidRPr="00221DE1">
        <w:rPr>
          <w:rFonts w:ascii="AvantGarde CE" w:hAnsi="AvantGarde CE"/>
          <w:sz w:val="24"/>
          <w:szCs w:val="24"/>
        </w:rPr>
        <w:t>:</w:t>
      </w:r>
    </w:p>
    <w:p w14:paraId="559FA47C" w14:textId="648B65FD" w:rsidR="0093078F" w:rsidRPr="00221DE1" w:rsidRDefault="003F3B70" w:rsidP="0093078F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r w:rsidRPr="00221DE1">
        <w:rPr>
          <w:rFonts w:ascii="AvantGarde CE" w:hAnsi="AvantGarde CE" w:cs="MyriadPro-Regular"/>
          <w:sz w:val="24"/>
          <w:szCs w:val="24"/>
        </w:rPr>
        <w:t xml:space="preserve">Pracovní roztok se připraví zředěním </w:t>
      </w:r>
      <w:r w:rsidR="0093078F" w:rsidRPr="00221DE1">
        <w:rPr>
          <w:rFonts w:ascii="AvantGarde CE" w:hAnsi="AvantGarde CE" w:cs="MyriadPro-Regular"/>
          <w:sz w:val="24"/>
          <w:szCs w:val="24"/>
        </w:rPr>
        <w:t xml:space="preserve">vypočteného </w:t>
      </w:r>
      <w:r w:rsidRPr="00221DE1">
        <w:rPr>
          <w:rFonts w:ascii="AvantGarde CE" w:hAnsi="AvantGarde CE" w:cs="MyriadPro-Regular"/>
          <w:sz w:val="24"/>
          <w:szCs w:val="24"/>
        </w:rPr>
        <w:t>množství přípravku ve studené nebo vlažné vodě. Během přípravy krav na dojení doporučujeme ostříkat paznehty a prostor mezi nimi čistou vodou, případně nechat zvířata projít vanou s vodou. Dezinfekční vany doporučujeme umístit blízko východu z dojírny pro maximální efekt přípravku. Volba aplikace záleží na způsobu ustájení dojnic a na podmínkách, které vykazuje dané prostředí</w:t>
      </w:r>
      <w:r w:rsidR="0093078F" w:rsidRPr="00221DE1">
        <w:rPr>
          <w:rFonts w:ascii="AvantGarde CE" w:hAnsi="AvantGarde CE" w:cs="MyriadPro-Regular"/>
          <w:sz w:val="24"/>
          <w:szCs w:val="24"/>
        </w:rPr>
        <w:t>.</w:t>
      </w:r>
    </w:p>
    <w:p w14:paraId="25D36B7A" w14:textId="77777777" w:rsidR="0093078F" w:rsidRPr="00221DE1" w:rsidRDefault="0093078F" w:rsidP="0093078F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Semibold"/>
          <w:sz w:val="24"/>
          <w:szCs w:val="24"/>
        </w:rPr>
      </w:pPr>
    </w:p>
    <w:p w14:paraId="7634DD1A" w14:textId="51FA9557" w:rsidR="0093078F" w:rsidRPr="00221DE1" w:rsidRDefault="0093078F" w:rsidP="0093078F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r w:rsidRPr="00221DE1">
        <w:rPr>
          <w:rFonts w:ascii="AvantGarde CE" w:hAnsi="AvantGarde CE" w:cs="MyriadPro-Semibold"/>
          <w:sz w:val="24"/>
          <w:szCs w:val="24"/>
        </w:rPr>
        <w:t>Při běžném, preventivním použití</w:t>
      </w:r>
      <w:r w:rsidRPr="00221DE1">
        <w:rPr>
          <w:rFonts w:ascii="AvantGarde CE" w:hAnsi="AvantGarde CE" w:cs="MyriadPro-Regular"/>
          <w:sz w:val="24"/>
          <w:szCs w:val="24"/>
        </w:rPr>
        <w:t>: do koupacích van, nebo rohoží namíchat koncentraci 3-5 %. Roztok vy měníme po vykoupání 200 krav, při silném znečistění je vhodné vyměnit roztok dříve.</w:t>
      </w:r>
    </w:p>
    <w:p w14:paraId="4E22AE54" w14:textId="77777777" w:rsidR="0093078F" w:rsidRPr="00221DE1" w:rsidRDefault="0093078F" w:rsidP="0093078F">
      <w:pPr>
        <w:autoSpaceDE w:val="0"/>
        <w:autoSpaceDN w:val="0"/>
        <w:adjustRightInd w:val="0"/>
        <w:spacing w:after="0" w:line="240" w:lineRule="auto"/>
        <w:rPr>
          <w:rFonts w:ascii="AvantGarde CE" w:hAnsi="AvantGarde CE" w:cs="MyriadPro-Regular"/>
          <w:sz w:val="24"/>
          <w:szCs w:val="24"/>
        </w:rPr>
      </w:pPr>
    </w:p>
    <w:p w14:paraId="65131C10" w14:textId="5354D135" w:rsidR="0093078F" w:rsidRPr="00221DE1" w:rsidRDefault="0093078F" w:rsidP="0093078F">
      <w:pPr>
        <w:autoSpaceDE w:val="0"/>
        <w:autoSpaceDN w:val="0"/>
        <w:adjustRightInd w:val="0"/>
        <w:spacing w:after="0" w:line="240" w:lineRule="auto"/>
        <w:rPr>
          <w:rFonts w:ascii="AvantGarde CE" w:hAnsi="AvantGarde CE" w:cs="MyriadPro-Regular"/>
          <w:sz w:val="24"/>
          <w:szCs w:val="24"/>
        </w:rPr>
      </w:pPr>
      <w:r w:rsidRPr="00221DE1">
        <w:rPr>
          <w:rFonts w:ascii="AvantGarde CE" w:hAnsi="AvantGarde CE" w:cs="MyriadPro-Regular"/>
          <w:sz w:val="24"/>
          <w:szCs w:val="24"/>
        </w:rPr>
        <w:t>Doporučujeme koupat alespoň 2krát měsíčně.</w:t>
      </w:r>
    </w:p>
    <w:p w14:paraId="41DA6E10" w14:textId="6EAE86EB" w:rsidR="0093078F" w:rsidRPr="00221DE1" w:rsidRDefault="0093078F" w:rsidP="0093078F">
      <w:pPr>
        <w:autoSpaceDE w:val="0"/>
        <w:autoSpaceDN w:val="0"/>
        <w:adjustRightInd w:val="0"/>
        <w:spacing w:after="0" w:line="240" w:lineRule="auto"/>
        <w:rPr>
          <w:rFonts w:ascii="AvantGarde CE" w:hAnsi="AvantGarde CE" w:cs="MyriadPro-Regular"/>
          <w:sz w:val="24"/>
          <w:szCs w:val="24"/>
        </w:rPr>
      </w:pPr>
    </w:p>
    <w:p w14:paraId="402486A8" w14:textId="544EBB03" w:rsidR="00221DE1" w:rsidRDefault="00221DE1" w:rsidP="00221DE1">
      <w:pPr>
        <w:pStyle w:val="Odstavecseseznamem"/>
        <w:autoSpaceDE w:val="0"/>
        <w:autoSpaceDN w:val="0"/>
        <w:adjustRightInd w:val="0"/>
        <w:spacing w:after="0" w:line="240" w:lineRule="auto"/>
        <w:ind w:left="1500"/>
        <w:jc w:val="both"/>
        <w:rPr>
          <w:rFonts w:ascii="AvantGarde CE" w:hAnsi="AvantGarde CE" w:cs="MyriadPro-Regular"/>
          <w:sz w:val="24"/>
          <w:szCs w:val="24"/>
        </w:rPr>
      </w:pPr>
    </w:p>
    <w:p w14:paraId="6B695614" w14:textId="5127138E" w:rsidR="00221DE1" w:rsidRDefault="00221DE1" w:rsidP="00221DE1">
      <w:pPr>
        <w:pStyle w:val="Odstavecseseznamem"/>
        <w:autoSpaceDE w:val="0"/>
        <w:autoSpaceDN w:val="0"/>
        <w:adjustRightInd w:val="0"/>
        <w:spacing w:after="0" w:line="240" w:lineRule="auto"/>
        <w:ind w:left="1500"/>
        <w:jc w:val="both"/>
        <w:rPr>
          <w:rFonts w:ascii="AvantGarde CE" w:hAnsi="AvantGarde CE" w:cs="MyriadPro-Regular"/>
          <w:sz w:val="24"/>
          <w:szCs w:val="24"/>
        </w:rPr>
      </w:pPr>
    </w:p>
    <w:p w14:paraId="63260DF8" w14:textId="77777777" w:rsidR="00807993" w:rsidRDefault="00807993" w:rsidP="00221DE1">
      <w:pPr>
        <w:pStyle w:val="Odstavecseseznamem"/>
        <w:autoSpaceDE w:val="0"/>
        <w:autoSpaceDN w:val="0"/>
        <w:adjustRightInd w:val="0"/>
        <w:spacing w:after="0" w:line="240" w:lineRule="auto"/>
        <w:ind w:left="1500"/>
        <w:jc w:val="both"/>
        <w:rPr>
          <w:rFonts w:ascii="AvantGarde CE" w:hAnsi="AvantGarde CE" w:cs="MyriadPro-Regular"/>
          <w:sz w:val="24"/>
          <w:szCs w:val="24"/>
        </w:rPr>
      </w:pPr>
    </w:p>
    <w:p w14:paraId="0F43ACA9" w14:textId="32438DE3" w:rsidR="00221DE1" w:rsidRDefault="00221DE1" w:rsidP="00221DE1">
      <w:pPr>
        <w:pStyle w:val="Odstavecseseznamem"/>
        <w:autoSpaceDE w:val="0"/>
        <w:autoSpaceDN w:val="0"/>
        <w:adjustRightInd w:val="0"/>
        <w:spacing w:after="0" w:line="240" w:lineRule="auto"/>
        <w:ind w:left="1500"/>
        <w:jc w:val="both"/>
        <w:rPr>
          <w:rFonts w:ascii="AvantGarde CE" w:hAnsi="AvantGarde CE" w:cs="MyriadPro-Regular"/>
          <w:sz w:val="24"/>
          <w:szCs w:val="24"/>
        </w:rPr>
      </w:pPr>
    </w:p>
    <w:p w14:paraId="64A703AC" w14:textId="77777777" w:rsidR="00221DE1" w:rsidRPr="00221DE1" w:rsidRDefault="00221DE1" w:rsidP="00221DE1">
      <w:pPr>
        <w:pStyle w:val="Odstavecseseznamem"/>
        <w:autoSpaceDE w:val="0"/>
        <w:autoSpaceDN w:val="0"/>
        <w:adjustRightInd w:val="0"/>
        <w:spacing w:after="0" w:line="240" w:lineRule="auto"/>
        <w:ind w:left="1500"/>
        <w:jc w:val="both"/>
        <w:rPr>
          <w:rFonts w:ascii="AvantGarde CE" w:hAnsi="AvantGarde CE" w:cs="MyriadPro-Regular"/>
          <w:sz w:val="24"/>
          <w:szCs w:val="24"/>
        </w:rPr>
      </w:pPr>
    </w:p>
    <w:p w14:paraId="09947668" w14:textId="77777777" w:rsidR="007647FD" w:rsidRPr="007647FD" w:rsidRDefault="007647FD" w:rsidP="007647FD">
      <w:pPr>
        <w:pStyle w:val="Odstavecseseznamem"/>
        <w:autoSpaceDE w:val="0"/>
        <w:autoSpaceDN w:val="0"/>
        <w:adjustRightInd w:val="0"/>
        <w:spacing w:after="0" w:line="240" w:lineRule="auto"/>
        <w:ind w:left="1500"/>
        <w:jc w:val="both"/>
        <w:rPr>
          <w:rFonts w:ascii="AvantGarde CE" w:hAnsi="AvantGarde CE" w:cs="MyriadPro-Regular"/>
          <w:b/>
          <w:bCs/>
          <w:i/>
          <w:iCs/>
          <w:sz w:val="24"/>
          <w:szCs w:val="24"/>
        </w:rPr>
      </w:pPr>
    </w:p>
    <w:p w14:paraId="5074D112" w14:textId="77777777" w:rsidR="007647FD" w:rsidRPr="007647FD" w:rsidRDefault="007647FD" w:rsidP="007647FD">
      <w:pPr>
        <w:pStyle w:val="Odstavecseseznamem"/>
        <w:autoSpaceDE w:val="0"/>
        <w:autoSpaceDN w:val="0"/>
        <w:adjustRightInd w:val="0"/>
        <w:spacing w:after="0" w:line="240" w:lineRule="auto"/>
        <w:ind w:left="1500"/>
        <w:jc w:val="both"/>
        <w:rPr>
          <w:rFonts w:ascii="AvantGarde CE" w:hAnsi="AvantGarde CE" w:cs="MyriadPro-Regular"/>
          <w:b/>
          <w:bCs/>
          <w:i/>
          <w:iCs/>
          <w:sz w:val="24"/>
          <w:szCs w:val="24"/>
        </w:rPr>
      </w:pPr>
    </w:p>
    <w:p w14:paraId="1AF750B2" w14:textId="1F8F1DBE" w:rsidR="0093078F" w:rsidRPr="00F92FE6" w:rsidRDefault="0093078F" w:rsidP="0093078F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b/>
          <w:bCs/>
          <w:i/>
          <w:iCs/>
          <w:sz w:val="24"/>
          <w:szCs w:val="24"/>
        </w:rPr>
      </w:pPr>
      <w:r w:rsidRPr="00221DE1">
        <w:rPr>
          <w:rFonts w:ascii="AvantGarde CE" w:hAnsi="AvantGarde CE" w:cs="MyriadPro-Semibold"/>
          <w:sz w:val="24"/>
          <w:szCs w:val="24"/>
        </w:rPr>
        <w:t>Ošetření při zvýšeném výskytu onemocnění kopyt a paznehtů</w:t>
      </w:r>
      <w:r w:rsidRPr="00221DE1">
        <w:rPr>
          <w:rFonts w:ascii="AvantGarde CE" w:hAnsi="AvantGarde CE" w:cs="MyriadPro-Regular"/>
          <w:sz w:val="24"/>
          <w:szCs w:val="24"/>
        </w:rPr>
        <w:t>: do koupacích van, nebo rohoží namíchat koncentraci 5 %. Koupat 5 po sobě následujících dní, poté snížit koncentraci na "Běžné preventivní použití"</w:t>
      </w:r>
      <w:r w:rsidR="005718AD" w:rsidRPr="00221DE1">
        <w:rPr>
          <w:rFonts w:ascii="AvantGarde CE" w:hAnsi="AvantGarde CE" w:cs="MyriadPro-Regular"/>
          <w:sz w:val="24"/>
          <w:szCs w:val="24"/>
        </w:rPr>
        <w:t>, tj. na 3</w:t>
      </w:r>
      <w:r w:rsidR="00F962F6">
        <w:rPr>
          <w:rFonts w:ascii="AvantGarde CE" w:hAnsi="AvantGarde CE" w:cs="MyriadPro-Regular"/>
          <w:sz w:val="24"/>
          <w:szCs w:val="24"/>
        </w:rPr>
        <w:t xml:space="preserve"> </w:t>
      </w:r>
      <w:r w:rsidR="005718AD" w:rsidRPr="00221DE1">
        <w:rPr>
          <w:rFonts w:ascii="AvantGarde CE" w:hAnsi="AvantGarde CE" w:cs="MyriadPro-Regular"/>
          <w:sz w:val="24"/>
          <w:szCs w:val="24"/>
        </w:rPr>
        <w:t xml:space="preserve">%-ní roztok přípravku </w:t>
      </w:r>
      <w:r w:rsidR="005718AD" w:rsidRPr="00F92FE6"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ZOCCOLO </w:t>
      </w:r>
      <w:proofErr w:type="spellStart"/>
      <w:r w:rsidR="005718AD" w:rsidRPr="00F92FE6">
        <w:rPr>
          <w:rFonts w:ascii="AvantGarde CE" w:hAnsi="AvantGarde CE" w:cs="MyriadPro-Regular"/>
          <w:b/>
          <w:bCs/>
          <w:i/>
          <w:iCs/>
          <w:sz w:val="24"/>
          <w:szCs w:val="24"/>
        </w:rPr>
        <w:t>Clasic</w:t>
      </w:r>
      <w:proofErr w:type="spellEnd"/>
    </w:p>
    <w:p w14:paraId="19CB494A" w14:textId="4F857008" w:rsidR="005718AD" w:rsidRPr="00221DE1" w:rsidRDefault="005718AD" w:rsidP="005718AD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r w:rsidRPr="00221DE1">
        <w:rPr>
          <w:rFonts w:ascii="AvantGarde CE" w:hAnsi="AvantGarde CE" w:cs="MyriadPro-Semibold"/>
          <w:sz w:val="24"/>
          <w:szCs w:val="24"/>
        </w:rPr>
        <w:t xml:space="preserve">Lokální ošetření postřikem: </w:t>
      </w:r>
      <w:r w:rsidRPr="00221DE1">
        <w:rPr>
          <w:rFonts w:ascii="AvantGarde CE" w:hAnsi="AvantGarde CE" w:cs="MyriadPro-Regular"/>
          <w:sz w:val="24"/>
          <w:szCs w:val="24"/>
        </w:rPr>
        <w:t>Aplikovat 10</w:t>
      </w:r>
      <w:r w:rsidR="0021135A">
        <w:rPr>
          <w:rFonts w:ascii="AvantGarde CE" w:hAnsi="AvantGarde CE" w:cs="MyriadPro-Regular"/>
          <w:sz w:val="24"/>
          <w:szCs w:val="24"/>
        </w:rPr>
        <w:t>%-ní</w:t>
      </w:r>
      <w:r w:rsidRPr="00221DE1">
        <w:rPr>
          <w:rFonts w:ascii="AvantGarde CE" w:hAnsi="AvantGarde CE" w:cs="MyriadPro-Regular"/>
          <w:sz w:val="24"/>
          <w:szCs w:val="24"/>
        </w:rPr>
        <w:t xml:space="preserve"> roztok pomocí ručního postřikovače, na předčištěné paznehty kopyta. Poté opět pravidelně koupat.</w:t>
      </w:r>
    </w:p>
    <w:p w14:paraId="313E39E3" w14:textId="6F0A6F0F" w:rsidR="0093078F" w:rsidRPr="00221DE1" w:rsidRDefault="0093078F" w:rsidP="005718AD">
      <w:pPr>
        <w:autoSpaceDE w:val="0"/>
        <w:autoSpaceDN w:val="0"/>
        <w:adjustRightInd w:val="0"/>
        <w:spacing w:after="0" w:line="240" w:lineRule="auto"/>
        <w:rPr>
          <w:rFonts w:ascii="AvantGarde CE" w:hAnsi="AvantGarde CE" w:cs="MyriadPro-Regular"/>
          <w:sz w:val="24"/>
          <w:szCs w:val="24"/>
        </w:rPr>
      </w:pPr>
    </w:p>
    <w:p w14:paraId="4AF0DF95" w14:textId="3B3F7BA1" w:rsidR="0093078F" w:rsidRPr="00221DE1" w:rsidRDefault="0093078F" w:rsidP="0093078F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r w:rsidRPr="00221DE1">
        <w:rPr>
          <w:rFonts w:ascii="AvantGarde CE" w:hAnsi="AvantGarde CE" w:cs="MyriadPro-Regular"/>
          <w:sz w:val="24"/>
          <w:szCs w:val="24"/>
        </w:rPr>
        <w:t>Doba expozice přípravku: 30 minut nebo do zaschnutí</w:t>
      </w:r>
    </w:p>
    <w:p w14:paraId="5B85BA85" w14:textId="10749E36" w:rsidR="004F1FDB" w:rsidRPr="00221DE1" w:rsidRDefault="004F1FDB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5CFDD7DE" w14:textId="17A8CAA3" w:rsidR="00B448B8" w:rsidRPr="00221DE1" w:rsidRDefault="005718AD" w:rsidP="005718AD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r w:rsidRPr="00221DE1">
        <w:rPr>
          <w:rFonts w:ascii="AvantGarde CE" w:hAnsi="AvantGarde CE" w:cs="MyriadPro-Semibold"/>
          <w:sz w:val="24"/>
          <w:szCs w:val="24"/>
        </w:rPr>
        <w:t xml:space="preserve">Přípravek je možné použít i k manuální dezinfekci </w:t>
      </w:r>
      <w:r w:rsidRPr="00221DE1">
        <w:rPr>
          <w:rFonts w:ascii="AvantGarde CE" w:hAnsi="AvantGarde CE" w:cs="MyriadPro-Regular"/>
          <w:sz w:val="24"/>
          <w:szCs w:val="24"/>
        </w:rPr>
        <w:t>zejména velkých ploch a povrchů pomocí postřiku. Především pro dezinfekci v chovech zvířat, zejména pro turnusovou</w:t>
      </w:r>
      <w:r w:rsidR="008D5F14">
        <w:rPr>
          <w:rFonts w:ascii="AvantGarde CE" w:hAnsi="AvantGarde CE" w:cs="MyriadPro-Regular"/>
          <w:sz w:val="24"/>
          <w:szCs w:val="24"/>
        </w:rPr>
        <w:t xml:space="preserve"> </w:t>
      </w:r>
      <w:r w:rsidRPr="00221DE1">
        <w:rPr>
          <w:rFonts w:ascii="AvantGarde CE" w:hAnsi="AvantGarde CE" w:cs="MyriadPro-Regular"/>
          <w:sz w:val="24"/>
          <w:szCs w:val="24"/>
        </w:rPr>
        <w:t>dezinfekci stájí a hal.</w:t>
      </w:r>
    </w:p>
    <w:p w14:paraId="73B834FA" w14:textId="3231025E" w:rsidR="00B448B8" w:rsidRPr="00221DE1" w:rsidRDefault="00B448B8" w:rsidP="00B448B8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r w:rsidRPr="00221DE1">
        <w:rPr>
          <w:rFonts w:ascii="AvantGarde CE" w:hAnsi="AvantGarde CE" w:cs="MyriadPro-Regular"/>
          <w:sz w:val="24"/>
          <w:szCs w:val="24"/>
        </w:rPr>
        <w:t>Pracovní 3</w:t>
      </w:r>
      <w:r w:rsidR="00F962F6">
        <w:rPr>
          <w:rFonts w:ascii="AvantGarde CE" w:hAnsi="AvantGarde CE" w:cs="MyriadPro-Regular"/>
          <w:sz w:val="24"/>
          <w:szCs w:val="24"/>
        </w:rPr>
        <w:t xml:space="preserve"> </w:t>
      </w:r>
      <w:r w:rsidRPr="00221DE1">
        <w:rPr>
          <w:rFonts w:ascii="AvantGarde CE" w:hAnsi="AvantGarde CE" w:cs="MyriadPro-Regular"/>
          <w:sz w:val="24"/>
          <w:szCs w:val="24"/>
        </w:rPr>
        <w:t xml:space="preserve">%-ní roztok se aplikuje mokrou cestou, tj.  postřikem. Přípravek se používá bez přítomnosti zvířat. </w:t>
      </w:r>
    </w:p>
    <w:p w14:paraId="1F3D1080" w14:textId="77777777" w:rsidR="00B448B8" w:rsidRPr="00221DE1" w:rsidRDefault="00B448B8" w:rsidP="00B448B8">
      <w:pPr>
        <w:pStyle w:val="Odstavecseseznamem"/>
        <w:autoSpaceDE w:val="0"/>
        <w:autoSpaceDN w:val="0"/>
        <w:adjustRightInd w:val="0"/>
        <w:spacing w:after="0" w:line="240" w:lineRule="auto"/>
        <w:ind w:left="1776"/>
        <w:jc w:val="both"/>
        <w:rPr>
          <w:rFonts w:ascii="AvantGarde CE" w:hAnsi="AvantGarde CE" w:cs="MyriadPro-Regular"/>
          <w:sz w:val="24"/>
          <w:szCs w:val="24"/>
        </w:rPr>
      </w:pPr>
    </w:p>
    <w:p w14:paraId="71CA57B4" w14:textId="7CD55579" w:rsidR="00B448B8" w:rsidRPr="00221DE1" w:rsidRDefault="00B448B8" w:rsidP="00B448B8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r w:rsidRPr="00221DE1">
        <w:rPr>
          <w:rFonts w:ascii="AvantGarde CE" w:hAnsi="AvantGarde CE" w:cs="MyriadPro-Regular"/>
          <w:sz w:val="24"/>
          <w:szCs w:val="24"/>
        </w:rPr>
        <w:t>Při přípravě a použití roztoku používejte vždy vhodné ochranné pracovní pomůcky. Nemíchejte s žádnými jinými čistícími či dezinfekčními přípravky. Povrchy, které po dezinfekci přichází do styku s potravinami, vodou nebo krmivy, opláchněte řádně vodou.</w:t>
      </w:r>
    </w:p>
    <w:p w14:paraId="2EB098C4" w14:textId="77777777" w:rsidR="00E53693" w:rsidRPr="00221DE1" w:rsidRDefault="00E53693" w:rsidP="00E53693">
      <w:pPr>
        <w:jc w:val="both"/>
        <w:rPr>
          <w:rFonts w:ascii="AvantGarde CE" w:hAnsi="AvantGarde CE"/>
          <w:sz w:val="24"/>
          <w:szCs w:val="24"/>
        </w:rPr>
      </w:pPr>
    </w:p>
    <w:p w14:paraId="47E15D90" w14:textId="771ED440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Technická specifikace</w:t>
      </w:r>
      <w:r w:rsidRPr="00221DE1">
        <w:rPr>
          <w:rFonts w:ascii="AvantGarde CE" w:hAnsi="AvantGarde CE"/>
          <w:sz w:val="24"/>
          <w:szCs w:val="24"/>
        </w:rPr>
        <w:t>:</w:t>
      </w:r>
    </w:p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819"/>
      </w:tblGrid>
      <w:tr w:rsidR="00E53693" w:rsidRPr="00221DE1" w14:paraId="34749419" w14:textId="77777777" w:rsidTr="00221DE1">
        <w:tc>
          <w:tcPr>
            <w:tcW w:w="4820" w:type="dxa"/>
          </w:tcPr>
          <w:p w14:paraId="2BCF264B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Vzhled: kapalina</w:t>
            </w:r>
          </w:p>
        </w:tc>
        <w:tc>
          <w:tcPr>
            <w:tcW w:w="4819" w:type="dxa"/>
          </w:tcPr>
          <w:p w14:paraId="44FCE1F0" w14:textId="6279284C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Hustota (25 °C): 1,</w:t>
            </w:r>
            <w:r w:rsidR="008A1AE8">
              <w:rPr>
                <w:rFonts w:ascii="AvantGarde CE" w:hAnsi="AvantGarde CE"/>
                <w:sz w:val="24"/>
                <w:szCs w:val="24"/>
              </w:rPr>
              <w:t>05 – 1,06</w:t>
            </w:r>
            <w:r w:rsidRPr="00221DE1">
              <w:rPr>
                <w:rFonts w:ascii="AvantGarde CE" w:hAnsi="AvantGarde CE"/>
                <w:sz w:val="24"/>
                <w:szCs w:val="24"/>
              </w:rPr>
              <w:t xml:space="preserve"> g/cm</w:t>
            </w:r>
            <w:r w:rsidRPr="00221DE1">
              <w:rPr>
                <w:rFonts w:ascii="Cambria" w:hAnsi="Cambria" w:cs="Cambria"/>
                <w:sz w:val="24"/>
                <w:szCs w:val="24"/>
              </w:rPr>
              <w:t>³</w:t>
            </w:r>
          </w:p>
        </w:tc>
      </w:tr>
      <w:tr w:rsidR="00E53693" w:rsidRPr="00221DE1" w14:paraId="5A53DA4F" w14:textId="77777777" w:rsidTr="00221DE1">
        <w:tc>
          <w:tcPr>
            <w:tcW w:w="4820" w:type="dxa"/>
          </w:tcPr>
          <w:p w14:paraId="776249BD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Zápach: charakteristický</w:t>
            </w:r>
          </w:p>
        </w:tc>
        <w:tc>
          <w:tcPr>
            <w:tcW w:w="4819" w:type="dxa"/>
          </w:tcPr>
          <w:p w14:paraId="10B3BC84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Rozpustnost ve vodě: zcela rozpustný</w:t>
            </w:r>
          </w:p>
        </w:tc>
      </w:tr>
      <w:tr w:rsidR="00E53693" w:rsidRPr="00221DE1" w14:paraId="0F0B627E" w14:textId="77777777" w:rsidTr="00221DE1">
        <w:trPr>
          <w:trHeight w:val="306"/>
        </w:trPr>
        <w:tc>
          <w:tcPr>
            <w:tcW w:w="4820" w:type="dxa"/>
          </w:tcPr>
          <w:p w14:paraId="5DEAF80B" w14:textId="78E1A445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 xml:space="preserve">Hodnota pH: cca </w:t>
            </w:r>
            <w:r w:rsidR="00B448B8" w:rsidRPr="00221DE1">
              <w:rPr>
                <w:rFonts w:ascii="AvantGarde CE" w:hAnsi="AvantGarde CE"/>
                <w:sz w:val="24"/>
                <w:szCs w:val="24"/>
              </w:rPr>
              <w:t>11,2</w:t>
            </w:r>
            <w:r w:rsidR="00221DE1" w:rsidRPr="00221DE1">
              <w:rPr>
                <w:rFonts w:ascii="AvantGarde CE" w:hAnsi="AvantGarde CE"/>
                <w:sz w:val="24"/>
                <w:szCs w:val="24"/>
              </w:rPr>
              <w:t xml:space="preserve"> (10% roztok)</w:t>
            </w:r>
          </w:p>
          <w:p w14:paraId="1A3A94B1" w14:textId="0981DB6C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 xml:space="preserve">                        </w:t>
            </w:r>
          </w:p>
        </w:tc>
        <w:tc>
          <w:tcPr>
            <w:tcW w:w="4819" w:type="dxa"/>
          </w:tcPr>
          <w:p w14:paraId="546703D8" w14:textId="0628C8E1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 xml:space="preserve">Barva: </w:t>
            </w:r>
            <w:r w:rsidR="00B448B8" w:rsidRPr="00221DE1">
              <w:rPr>
                <w:rFonts w:ascii="AvantGarde CE" w:hAnsi="AvantGarde CE"/>
                <w:sz w:val="24"/>
                <w:szCs w:val="24"/>
              </w:rPr>
              <w:t>bezbarvý</w:t>
            </w:r>
            <w:r w:rsidRPr="00221DE1">
              <w:rPr>
                <w:rFonts w:ascii="AvantGarde CE" w:hAnsi="AvantGarde CE"/>
                <w:sz w:val="24"/>
                <w:szCs w:val="24"/>
              </w:rPr>
              <w:t xml:space="preserve"> </w:t>
            </w:r>
          </w:p>
        </w:tc>
      </w:tr>
      <w:tr w:rsidR="00E53693" w:rsidRPr="00221DE1" w14:paraId="55C8B40D" w14:textId="77777777" w:rsidTr="00221DE1">
        <w:tc>
          <w:tcPr>
            <w:tcW w:w="4820" w:type="dxa"/>
          </w:tcPr>
          <w:p w14:paraId="42CE3A44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Hořlavost: nehořlavý</w:t>
            </w:r>
          </w:p>
        </w:tc>
        <w:tc>
          <w:tcPr>
            <w:tcW w:w="4819" w:type="dxa"/>
          </w:tcPr>
          <w:p w14:paraId="7C9E08E8" w14:textId="3D82A752" w:rsidR="00E53693" w:rsidRPr="00221DE1" w:rsidRDefault="00221DE1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Skladovatelnost: 2 roky od data dodání</w:t>
            </w:r>
          </w:p>
        </w:tc>
      </w:tr>
      <w:tr w:rsidR="00E53693" w:rsidRPr="00221DE1" w14:paraId="11291E81" w14:textId="77777777" w:rsidTr="00221DE1">
        <w:tc>
          <w:tcPr>
            <w:tcW w:w="4820" w:type="dxa"/>
          </w:tcPr>
          <w:p w14:paraId="0FB035A9" w14:textId="1C1DC7B2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</w:p>
        </w:tc>
        <w:tc>
          <w:tcPr>
            <w:tcW w:w="4819" w:type="dxa"/>
          </w:tcPr>
          <w:p w14:paraId="76074D30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</w:p>
        </w:tc>
      </w:tr>
    </w:tbl>
    <w:p w14:paraId="012B08EB" w14:textId="77777777" w:rsidR="00F92FE6" w:rsidRDefault="00F92FE6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3E08B744" w14:textId="77777777" w:rsidR="00F92FE6" w:rsidRDefault="00F92FE6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0272D9DA" w14:textId="6B01C5A8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Balení</w:t>
      </w:r>
      <w:r w:rsidRPr="00221DE1">
        <w:rPr>
          <w:rFonts w:ascii="AvantGarde CE" w:hAnsi="AvantGarde CE"/>
          <w:sz w:val="24"/>
          <w:szCs w:val="24"/>
        </w:rPr>
        <w:t xml:space="preserve">:                                      </w:t>
      </w:r>
    </w:p>
    <w:p w14:paraId="729A198D" w14:textId="5323E755" w:rsidR="00221DE1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sz w:val="24"/>
          <w:szCs w:val="24"/>
        </w:rPr>
        <w:t xml:space="preserve">Kanystr 10 l       </w:t>
      </w:r>
      <w:r w:rsidR="00221DE1" w:rsidRPr="00221DE1">
        <w:rPr>
          <w:rFonts w:ascii="AvantGarde CE" w:hAnsi="AvantGarde CE"/>
          <w:sz w:val="24"/>
          <w:szCs w:val="24"/>
        </w:rPr>
        <w:t xml:space="preserve">  </w:t>
      </w:r>
      <w:r w:rsidRPr="00221DE1">
        <w:rPr>
          <w:rFonts w:ascii="AvantGarde CE" w:hAnsi="AvantGarde CE"/>
          <w:sz w:val="24"/>
          <w:szCs w:val="24"/>
        </w:rPr>
        <w:t xml:space="preserve">       </w:t>
      </w:r>
      <w:r w:rsidR="00221DE1" w:rsidRPr="00221DE1">
        <w:rPr>
          <w:rFonts w:ascii="AvantGarde CE" w:hAnsi="AvantGarde CE"/>
          <w:sz w:val="24"/>
          <w:szCs w:val="24"/>
        </w:rPr>
        <w:t xml:space="preserve">           </w:t>
      </w:r>
      <w:r w:rsidRPr="00221DE1">
        <w:rPr>
          <w:rFonts w:ascii="AvantGarde CE" w:hAnsi="AvantGarde CE"/>
          <w:sz w:val="24"/>
          <w:szCs w:val="24"/>
        </w:rPr>
        <w:t xml:space="preserve">  </w:t>
      </w:r>
      <w:r w:rsidR="00221DE1" w:rsidRPr="00221DE1">
        <w:rPr>
          <w:rFonts w:ascii="AvantGarde CE" w:hAnsi="AvantGarde CE"/>
          <w:sz w:val="24"/>
          <w:szCs w:val="24"/>
        </w:rPr>
        <w:t xml:space="preserve"> </w:t>
      </w:r>
      <w:r w:rsidRPr="00221DE1">
        <w:rPr>
          <w:rFonts w:ascii="AvantGarde CE" w:hAnsi="AvantGarde CE"/>
          <w:sz w:val="24"/>
          <w:szCs w:val="24"/>
        </w:rPr>
        <w:t>Kanystr 2</w:t>
      </w:r>
      <w:r w:rsidR="004F1FDB" w:rsidRPr="00221DE1">
        <w:rPr>
          <w:rFonts w:ascii="AvantGarde CE" w:hAnsi="AvantGarde CE"/>
          <w:sz w:val="24"/>
          <w:szCs w:val="24"/>
        </w:rPr>
        <w:t>5</w:t>
      </w:r>
      <w:r w:rsidRPr="00221DE1">
        <w:rPr>
          <w:rFonts w:ascii="AvantGarde CE" w:hAnsi="AvantGarde CE"/>
          <w:sz w:val="24"/>
          <w:szCs w:val="24"/>
        </w:rPr>
        <w:t xml:space="preserve"> l</w:t>
      </w:r>
      <w:r w:rsidR="00221DE1" w:rsidRPr="00221DE1">
        <w:rPr>
          <w:rFonts w:ascii="AvantGarde CE" w:hAnsi="AvantGarde CE"/>
          <w:sz w:val="24"/>
          <w:szCs w:val="24"/>
        </w:rPr>
        <w:t xml:space="preserve">                                       Kanystr 50 l  </w:t>
      </w:r>
    </w:p>
    <w:p w14:paraId="10DB3267" w14:textId="34974DBE" w:rsidR="00E53693" w:rsidRDefault="004F1FDB" w:rsidP="00F92FE6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sz w:val="24"/>
          <w:szCs w:val="24"/>
        </w:rPr>
        <w:t>IBC 300 l</w:t>
      </w:r>
      <w:r w:rsidR="00221DE1" w:rsidRPr="00221DE1">
        <w:rPr>
          <w:rFonts w:ascii="AvantGarde CE" w:hAnsi="AvantGarde CE"/>
          <w:sz w:val="24"/>
          <w:szCs w:val="24"/>
        </w:rPr>
        <w:tab/>
      </w:r>
      <w:r w:rsidR="00221DE1" w:rsidRPr="00221DE1">
        <w:rPr>
          <w:rFonts w:ascii="AvantGarde CE" w:hAnsi="AvantGarde CE"/>
          <w:sz w:val="24"/>
          <w:szCs w:val="24"/>
        </w:rPr>
        <w:tab/>
      </w:r>
      <w:r w:rsidR="00221DE1" w:rsidRPr="00221DE1">
        <w:rPr>
          <w:rFonts w:ascii="AvantGarde CE" w:hAnsi="AvantGarde CE"/>
          <w:sz w:val="24"/>
          <w:szCs w:val="24"/>
        </w:rPr>
        <w:tab/>
        <w:t>IBC 1000 l</w:t>
      </w:r>
    </w:p>
    <w:p w14:paraId="465C0FC3" w14:textId="54D58B13" w:rsidR="00221DE1" w:rsidRDefault="00221DE1" w:rsidP="00E53693">
      <w:pPr>
        <w:jc w:val="both"/>
        <w:rPr>
          <w:rFonts w:ascii="AvantGarde CE" w:hAnsi="AvantGarde CE"/>
          <w:sz w:val="24"/>
          <w:szCs w:val="24"/>
        </w:rPr>
      </w:pPr>
    </w:p>
    <w:p w14:paraId="1C3B505B" w14:textId="77777777" w:rsidR="00221DE1" w:rsidRPr="00221DE1" w:rsidRDefault="00221DE1" w:rsidP="00E53693">
      <w:pPr>
        <w:jc w:val="both"/>
        <w:rPr>
          <w:rFonts w:ascii="AvantGarde CE" w:hAnsi="AvantGarde CE"/>
          <w:sz w:val="24"/>
          <w:szCs w:val="24"/>
        </w:rPr>
      </w:pPr>
    </w:p>
    <w:p w14:paraId="0BFBD4F9" w14:textId="5725FBF1" w:rsidR="0021135A" w:rsidRDefault="0021135A" w:rsidP="00E53693">
      <w:pPr>
        <w:jc w:val="both"/>
        <w:rPr>
          <w:rFonts w:ascii="AvantGarde CE" w:hAnsi="AvantGarde CE"/>
        </w:rPr>
      </w:pPr>
    </w:p>
    <w:p w14:paraId="673F4230" w14:textId="77777777" w:rsidR="0021135A" w:rsidRPr="00E04D26" w:rsidRDefault="0021135A" w:rsidP="00E53693">
      <w:pPr>
        <w:jc w:val="both"/>
        <w:rPr>
          <w:rFonts w:ascii="AvantGarde CE" w:hAnsi="AvantGarde CE"/>
        </w:rPr>
      </w:pPr>
    </w:p>
    <w:p w14:paraId="13E1FC86" w14:textId="47B715D7" w:rsidR="005652D6" w:rsidRPr="00E04D26" w:rsidRDefault="00E53693" w:rsidP="00E04D26">
      <w:pPr>
        <w:jc w:val="both"/>
        <w:rPr>
          <w:rFonts w:ascii="AvantGarde CE" w:hAnsi="AvantGarde CE"/>
          <w:sz w:val="12"/>
          <w:szCs w:val="12"/>
        </w:rPr>
      </w:pPr>
      <w:r w:rsidRPr="00E04D26">
        <w:rPr>
          <w:rFonts w:ascii="AvantGarde CE" w:hAnsi="AvantGarde CE"/>
          <w:sz w:val="12"/>
          <w:szCs w:val="12"/>
        </w:rPr>
        <w:t xml:space="preserve">Veškeré produkty společnosti 4D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s.r.o., které jsou chemickou směsí nebo nebezpečnou chemickou směsí, jsou řádně klasifikovány, značeny a vybaveny bezpečnostními listy v souladu s chemickým zákonem a příslušnými předpisy v rámci EU. Všichni uživatelé produktu společnosti 4D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 jsou ze zákona povinni seznámit se s technickým a bezpečnostním listem příslušného výrobku a zajistit tak správný postup pro používání, skladování a manipulaci s výrobkem. Naše ústní a písemná technická doporučení, která předáváme s nejlepším vědomím, nemohou postihnout veškeré detaily a podmínky příslušné aplikace a ve vztahu k právům třetích osob neosvobozují uživatele od vlastních zkoušek a testu. Proto je uživatel povinen provést testy a zkoušky pro jednotlivé aplikace tak, aby vyloučil veškerá rizika spojená s aplikací chemické směsi, zejména pak nebezpečné chemické směsi, neboť tyto aplikace a jejich podmínky jsou mimo naše kontrolní možnosti. Společnost 4D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 ručí za deklarovanou kvalitu svých výrobku a vlastnosti popsané v technických a bezpečnostních listech.</w:t>
      </w:r>
    </w:p>
    <w:sectPr w:rsidR="005652D6" w:rsidRPr="00E04D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7EEFA" w14:textId="77777777" w:rsidR="006A0006" w:rsidRDefault="006A0006" w:rsidP="00E92A57">
      <w:pPr>
        <w:spacing w:after="0" w:line="240" w:lineRule="auto"/>
      </w:pPr>
      <w:r>
        <w:separator/>
      </w:r>
    </w:p>
  </w:endnote>
  <w:endnote w:type="continuationSeparator" w:id="0">
    <w:p w14:paraId="76EA7E0F" w14:textId="77777777" w:rsidR="006A0006" w:rsidRDefault="006A0006" w:rsidP="00E92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vantGarde CE">
    <w:altName w:val="Calibri"/>
    <w:panose1 w:val="00000000000000000000"/>
    <w:charset w:val="EE"/>
    <w:family w:val="decorative"/>
    <w:notTrueType/>
    <w:pitch w:val="variable"/>
    <w:sig w:usb0="800000AF" w:usb1="0000204A" w:usb2="00000000" w:usb3="00000000" w:csb0="00000083" w:csb1="00000000"/>
  </w:font>
  <w:font w:name="Myriad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yriadPro-Semi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53A44" w14:textId="77777777" w:rsidR="00E92A57" w:rsidRDefault="00E92A5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0E4D9" w14:textId="77777777" w:rsidR="00E92A57" w:rsidRDefault="00E92A5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340EC" w14:textId="77777777" w:rsidR="00E92A57" w:rsidRDefault="00E92A5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81E56" w14:textId="77777777" w:rsidR="006A0006" w:rsidRDefault="006A0006" w:rsidP="00E92A57">
      <w:pPr>
        <w:spacing w:after="0" w:line="240" w:lineRule="auto"/>
      </w:pPr>
      <w:r>
        <w:separator/>
      </w:r>
    </w:p>
  </w:footnote>
  <w:footnote w:type="continuationSeparator" w:id="0">
    <w:p w14:paraId="178819B4" w14:textId="77777777" w:rsidR="006A0006" w:rsidRDefault="006A0006" w:rsidP="00E92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1AD01" w14:textId="6D2B9DD3" w:rsidR="00E92A57" w:rsidRDefault="00000000">
    <w:pPr>
      <w:pStyle w:val="Zhlav"/>
    </w:pPr>
    <w:r>
      <w:rPr>
        <w:noProof/>
      </w:rPr>
      <w:pict w14:anchorId="3D52A0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1" o:spid="_x0000_s1029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CC47D" w14:textId="25D63B8E" w:rsidR="00E92A57" w:rsidRDefault="00000000">
    <w:pPr>
      <w:pStyle w:val="Zhlav"/>
    </w:pPr>
    <w:r>
      <w:rPr>
        <w:noProof/>
      </w:rPr>
      <w:pict w14:anchorId="26B76C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2" o:spid="_x0000_s1030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CA733" w14:textId="24C8AF59" w:rsidR="00E92A57" w:rsidRDefault="00000000">
    <w:pPr>
      <w:pStyle w:val="Zhlav"/>
    </w:pPr>
    <w:r>
      <w:rPr>
        <w:noProof/>
      </w:rPr>
      <w:pict w14:anchorId="41FB9F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0" o:spid="_x0000_s1028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1235E"/>
    <w:multiLevelType w:val="hybridMultilevel"/>
    <w:tmpl w:val="C832B47C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602F3486"/>
    <w:multiLevelType w:val="hybridMultilevel"/>
    <w:tmpl w:val="177415A8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464466349">
    <w:abstractNumId w:val="1"/>
  </w:num>
  <w:num w:numId="2" w16cid:durableId="1613827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A57"/>
    <w:rsid w:val="00014338"/>
    <w:rsid w:val="001F1238"/>
    <w:rsid w:val="0021135A"/>
    <w:rsid w:val="00221DE1"/>
    <w:rsid w:val="003F3B70"/>
    <w:rsid w:val="004358BC"/>
    <w:rsid w:val="004A2A31"/>
    <w:rsid w:val="004F1FDB"/>
    <w:rsid w:val="005652D6"/>
    <w:rsid w:val="005718AD"/>
    <w:rsid w:val="006A0006"/>
    <w:rsid w:val="007647FD"/>
    <w:rsid w:val="00807993"/>
    <w:rsid w:val="0089583A"/>
    <w:rsid w:val="008A1AE8"/>
    <w:rsid w:val="008B1C9E"/>
    <w:rsid w:val="008D5F14"/>
    <w:rsid w:val="00927B45"/>
    <w:rsid w:val="0093078F"/>
    <w:rsid w:val="009343FB"/>
    <w:rsid w:val="009376FB"/>
    <w:rsid w:val="00A063D8"/>
    <w:rsid w:val="00A56984"/>
    <w:rsid w:val="00AA5BE9"/>
    <w:rsid w:val="00AB7A62"/>
    <w:rsid w:val="00AF4006"/>
    <w:rsid w:val="00B448B8"/>
    <w:rsid w:val="00B54F69"/>
    <w:rsid w:val="00C20ED4"/>
    <w:rsid w:val="00C46A8D"/>
    <w:rsid w:val="00DE1F00"/>
    <w:rsid w:val="00E04D26"/>
    <w:rsid w:val="00E53693"/>
    <w:rsid w:val="00E92A57"/>
    <w:rsid w:val="00EF508A"/>
    <w:rsid w:val="00F92FE6"/>
    <w:rsid w:val="00F962F6"/>
    <w:rsid w:val="00FC3067"/>
    <w:rsid w:val="00FC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3EA8F"/>
  <w15:chartTrackingRefBased/>
  <w15:docId w15:val="{8935256D-FBD4-4E17-BD1A-346D8EED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536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2A57"/>
  </w:style>
  <w:style w:type="paragraph" w:styleId="Zpat">
    <w:name w:val="footer"/>
    <w:basedOn w:val="Normln"/>
    <w:link w:val="Zpat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2A57"/>
  </w:style>
  <w:style w:type="table" w:styleId="Mkatabulky">
    <w:name w:val="Table Grid"/>
    <w:basedOn w:val="Normlntabulka"/>
    <w:uiPriority w:val="39"/>
    <w:rsid w:val="00E53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30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666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Dolejský</dc:creator>
  <cp:keywords/>
  <dc:description/>
  <cp:lastModifiedBy>Petr Dolejský</cp:lastModifiedBy>
  <cp:revision>11</cp:revision>
  <cp:lastPrinted>2023-11-20T21:45:00Z</cp:lastPrinted>
  <dcterms:created xsi:type="dcterms:W3CDTF">2021-12-13T14:51:00Z</dcterms:created>
  <dcterms:modified xsi:type="dcterms:W3CDTF">2023-11-20T21:45:00Z</dcterms:modified>
</cp:coreProperties>
</file>